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DA858" w14:textId="77777777" w:rsidR="00586009" w:rsidRDefault="00A13E20">
      <w:pPr>
        <w:spacing w:after="0" w:line="276" w:lineRule="auto"/>
        <w:jc w:val="center"/>
        <w:rPr>
          <w:rFonts w:ascii="Times New Roman" w:eastAsia="Times New Roman" w:hAnsi="Times New Roman" w:cs="Times New Roman"/>
          <w:b/>
          <w:i/>
          <w:smallCaps/>
          <w:sz w:val="30"/>
          <w:szCs w:val="30"/>
          <w:highlight w:val="white"/>
        </w:rPr>
      </w:pPr>
      <w:r>
        <w:rPr>
          <w:rFonts w:ascii="Times New Roman" w:eastAsia="Times New Roman" w:hAnsi="Times New Roman" w:cs="Times New Roman"/>
          <w:b/>
          <w:i/>
          <w:smallCaps/>
          <w:sz w:val="30"/>
          <w:szCs w:val="30"/>
          <w:highlight w:val="white"/>
        </w:rPr>
        <w:t xml:space="preserve">SOUTH PLAINS REGIONAL </w:t>
      </w:r>
    </w:p>
    <w:p w14:paraId="4FB00EF6" w14:textId="77777777" w:rsidR="00586009" w:rsidRDefault="00A13E20">
      <w:pPr>
        <w:spacing w:after="0" w:line="276" w:lineRule="auto"/>
        <w:jc w:val="center"/>
        <w:rPr>
          <w:rFonts w:ascii="Times New Roman" w:eastAsia="Times New Roman" w:hAnsi="Times New Roman" w:cs="Times New Roman"/>
          <w:b/>
          <w:i/>
          <w:smallCaps/>
          <w:sz w:val="30"/>
          <w:szCs w:val="30"/>
          <w:highlight w:val="white"/>
        </w:rPr>
      </w:pPr>
      <w:r>
        <w:rPr>
          <w:rFonts w:ascii="Times New Roman" w:eastAsia="Times New Roman" w:hAnsi="Times New Roman" w:cs="Times New Roman"/>
          <w:b/>
          <w:i/>
          <w:smallCaps/>
          <w:sz w:val="30"/>
          <w:szCs w:val="30"/>
          <w:highlight w:val="white"/>
        </w:rPr>
        <w:t>SCIENCE AND ENGINEERING FAIR</w:t>
      </w:r>
    </w:p>
    <w:p w14:paraId="303AC8C9" w14:textId="77777777" w:rsidR="00586009" w:rsidRDefault="00A13E20">
      <w:pPr>
        <w:spacing w:after="0" w:line="276" w:lineRule="auto"/>
        <w:jc w:val="center"/>
        <w:rPr>
          <w:rFonts w:ascii="Times New Roman" w:eastAsia="Times New Roman" w:hAnsi="Times New Roman" w:cs="Times New Roman"/>
          <w:b/>
          <w:smallCaps/>
          <w:sz w:val="36"/>
          <w:szCs w:val="36"/>
          <w:highlight w:val="white"/>
        </w:rPr>
      </w:pPr>
      <w:r>
        <w:rPr>
          <w:rFonts w:ascii="Times New Roman" w:eastAsia="Times New Roman" w:hAnsi="Times New Roman" w:cs="Times New Roman"/>
          <w:b/>
          <w:smallCaps/>
          <w:sz w:val="36"/>
          <w:szCs w:val="36"/>
          <w:highlight w:val="white"/>
        </w:rPr>
        <w:t>PARTICIPATION EQUALIZATION GUIDELINES</w:t>
      </w:r>
    </w:p>
    <w:p w14:paraId="5A35A38E" w14:textId="5B88E99A" w:rsidR="00586009" w:rsidRDefault="00A13E20">
      <w:pPr>
        <w:spacing w:after="0" w:line="276" w:lineRule="auto"/>
        <w:jc w:val="center"/>
        <w:rPr>
          <w:rFonts w:ascii="Times New Roman" w:eastAsia="Times New Roman" w:hAnsi="Times New Roman" w:cs="Times New Roman"/>
          <w:b/>
          <w:smallCaps/>
          <w:sz w:val="36"/>
          <w:szCs w:val="36"/>
          <w:highlight w:val="white"/>
        </w:rPr>
      </w:pPr>
      <w:r>
        <w:rPr>
          <w:rFonts w:ascii="Times New Roman" w:eastAsia="Times New Roman" w:hAnsi="Times New Roman" w:cs="Times New Roman"/>
          <w:b/>
          <w:smallCaps/>
          <w:sz w:val="36"/>
          <w:szCs w:val="36"/>
          <w:highlight w:val="white"/>
        </w:rPr>
        <w:t>202</w:t>
      </w:r>
      <w:r w:rsidR="00FB3CA3">
        <w:rPr>
          <w:rFonts w:ascii="Times New Roman" w:eastAsia="Times New Roman" w:hAnsi="Times New Roman" w:cs="Times New Roman"/>
          <w:b/>
          <w:smallCaps/>
          <w:sz w:val="36"/>
          <w:szCs w:val="36"/>
          <w:highlight w:val="white"/>
        </w:rPr>
        <w:t>5</w:t>
      </w:r>
      <w:r>
        <w:rPr>
          <w:rFonts w:ascii="Times New Roman" w:eastAsia="Times New Roman" w:hAnsi="Times New Roman" w:cs="Times New Roman"/>
          <w:b/>
          <w:smallCaps/>
          <w:sz w:val="36"/>
          <w:szCs w:val="36"/>
          <w:highlight w:val="white"/>
        </w:rPr>
        <w:t>-202</w:t>
      </w:r>
      <w:r w:rsidR="00FB3CA3">
        <w:rPr>
          <w:rFonts w:ascii="Times New Roman" w:eastAsia="Times New Roman" w:hAnsi="Times New Roman" w:cs="Times New Roman"/>
          <w:b/>
          <w:smallCaps/>
          <w:sz w:val="36"/>
          <w:szCs w:val="36"/>
          <w:highlight w:val="white"/>
        </w:rPr>
        <w:t>6</w:t>
      </w:r>
    </w:p>
    <w:p w14:paraId="56D064F0" w14:textId="77777777" w:rsidR="00586009" w:rsidRDefault="00586009">
      <w:pPr>
        <w:spacing w:after="0" w:line="276" w:lineRule="auto"/>
        <w:jc w:val="center"/>
        <w:rPr>
          <w:rFonts w:ascii="Times New Roman" w:eastAsia="Times New Roman" w:hAnsi="Times New Roman" w:cs="Times New Roman"/>
          <w:b/>
          <w:smallCaps/>
          <w:sz w:val="36"/>
          <w:szCs w:val="36"/>
          <w:highlight w:val="white"/>
        </w:rPr>
      </w:pPr>
    </w:p>
    <w:p w14:paraId="13BD29AD" w14:textId="77777777" w:rsidR="00586009" w:rsidRDefault="00586009">
      <w:pPr>
        <w:spacing w:after="0" w:line="276" w:lineRule="auto"/>
        <w:rPr>
          <w:rFonts w:ascii="Times New Roman" w:eastAsia="Times New Roman" w:hAnsi="Times New Roman" w:cs="Times New Roman"/>
          <w:sz w:val="24"/>
          <w:szCs w:val="24"/>
          <w:highlight w:val="white"/>
        </w:rPr>
      </w:pPr>
    </w:p>
    <w:p w14:paraId="5AF48732" w14:textId="77777777" w:rsidR="00586009" w:rsidRDefault="00A13E20">
      <w:pPr>
        <w:spacing w:after="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Rationale:</w:t>
      </w:r>
    </w:p>
    <w:p w14:paraId="71F36F97" w14:textId="77777777" w:rsidR="00586009" w:rsidRDefault="00A13E2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 any adjudicated event, it is important that all participants be treated fairly and impartially. Since awards are given by grade to the schools which enter the best overall science projects, it is prudent to ensure that all schools, regardless of composition or enrollment, have the opportunity for recognition. The guidelines attempt to </w:t>
      </w:r>
      <w:proofErr w:type="gramStart"/>
      <w:r>
        <w:rPr>
          <w:rFonts w:ascii="Times New Roman" w:eastAsia="Times New Roman" w:hAnsi="Times New Roman" w:cs="Times New Roman"/>
          <w:sz w:val="24"/>
          <w:szCs w:val="24"/>
          <w:highlight w:val="white"/>
        </w:rPr>
        <w:t>take into account</w:t>
      </w:r>
      <w:proofErr w:type="gramEnd"/>
      <w:r>
        <w:rPr>
          <w:rFonts w:ascii="Times New Roman" w:eastAsia="Times New Roman" w:hAnsi="Times New Roman" w:cs="Times New Roman"/>
          <w:sz w:val="24"/>
          <w:szCs w:val="24"/>
          <w:highlight w:val="white"/>
        </w:rPr>
        <w:t xml:space="preserve"> the reasonable expectation that a school with greater enrollment should be able to send more student representatives to the regional science fair than a school with a smaller enrollment. The guidelines also guarantee that smaller schools will be able to compete fairly for the school sweepstakes awards.</w:t>
      </w:r>
    </w:p>
    <w:p w14:paraId="230CD94F" w14:textId="77777777" w:rsidR="00586009" w:rsidRDefault="00586009">
      <w:pPr>
        <w:spacing w:after="0" w:line="276" w:lineRule="auto"/>
        <w:rPr>
          <w:rFonts w:ascii="Times New Roman" w:eastAsia="Times New Roman" w:hAnsi="Times New Roman" w:cs="Times New Roman"/>
          <w:sz w:val="24"/>
          <w:szCs w:val="24"/>
          <w:highlight w:val="white"/>
        </w:rPr>
      </w:pPr>
    </w:p>
    <w:p w14:paraId="3EF98371" w14:textId="77777777" w:rsidR="00586009" w:rsidRDefault="00A13E20">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white"/>
        </w:rPr>
        <w:t>GUIDELINES:</w:t>
      </w:r>
    </w:p>
    <w:p w14:paraId="0534546E" w14:textId="77777777" w:rsidR="00586009" w:rsidRDefault="00A13E2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number of student projects per grade level per school shall not exceed the following maximums:</w:t>
      </w:r>
    </w:p>
    <w:p w14:paraId="4397B349" w14:textId="77777777" w:rsidR="00586009" w:rsidRDefault="00A13E2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1"/>
        <w:tblW w:w="6926" w:type="dxa"/>
        <w:jc w:val="center"/>
        <w:tblBorders>
          <w:top w:val="single" w:sz="4" w:space="0" w:color="666666"/>
          <w:bottom w:val="single" w:sz="4" w:space="0" w:color="666666"/>
          <w:insideH w:val="single" w:sz="4" w:space="0" w:color="666666"/>
          <w:insideV w:val="single" w:sz="4" w:space="0" w:color="666666"/>
        </w:tblBorders>
        <w:tblLayout w:type="fixed"/>
        <w:tblLook w:val="0620" w:firstRow="1" w:lastRow="0" w:firstColumn="0" w:lastColumn="0" w:noHBand="1" w:noVBand="1"/>
      </w:tblPr>
      <w:tblGrid>
        <w:gridCol w:w="3951"/>
        <w:gridCol w:w="2975"/>
      </w:tblGrid>
      <w:tr w:rsidR="00586009" w14:paraId="4B0A9C62" w14:textId="77777777" w:rsidTr="00586009">
        <w:trPr>
          <w:cnfStyle w:val="100000000000" w:firstRow="1" w:lastRow="0" w:firstColumn="0" w:lastColumn="0" w:oddVBand="0" w:evenVBand="0" w:oddHBand="0" w:evenHBand="0" w:firstRowFirstColumn="0" w:firstRowLastColumn="0" w:lastRowFirstColumn="0" w:lastRowLastColumn="0"/>
          <w:trHeight w:val="306"/>
          <w:jc w:val="center"/>
        </w:trPr>
        <w:tc>
          <w:tcPr>
            <w:tcW w:w="3951" w:type="dxa"/>
          </w:tcPr>
          <w:p w14:paraId="2DC5E19F" w14:textId="77777777" w:rsidR="00586009" w:rsidRDefault="00A13E2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GRADE LEVEL ENROLLMENT</w:t>
            </w:r>
          </w:p>
        </w:tc>
        <w:tc>
          <w:tcPr>
            <w:tcW w:w="2975" w:type="dxa"/>
            <w:vAlign w:val="center"/>
          </w:tcPr>
          <w:p w14:paraId="1B6D4C08" w14:textId="77777777" w:rsidR="00586009" w:rsidRDefault="00A13E2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MAXIMUM PROJECTS</w:t>
            </w:r>
          </w:p>
        </w:tc>
      </w:tr>
      <w:tr w:rsidR="00586009" w14:paraId="0A750DE1" w14:textId="77777777" w:rsidTr="00586009">
        <w:trPr>
          <w:trHeight w:val="306"/>
          <w:jc w:val="center"/>
        </w:trPr>
        <w:tc>
          <w:tcPr>
            <w:tcW w:w="3951" w:type="dxa"/>
          </w:tcPr>
          <w:p w14:paraId="711E2E65" w14:textId="77777777" w:rsidR="00586009" w:rsidRDefault="00A13E2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0 - 100</w:t>
            </w:r>
          </w:p>
        </w:tc>
        <w:tc>
          <w:tcPr>
            <w:tcW w:w="2975" w:type="dxa"/>
          </w:tcPr>
          <w:p w14:paraId="2DE6CDE1" w14:textId="77777777" w:rsidR="00586009" w:rsidRDefault="00A13E2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86009" w14:paraId="33D3D96A" w14:textId="77777777" w:rsidTr="00586009">
        <w:trPr>
          <w:trHeight w:val="306"/>
          <w:jc w:val="center"/>
        </w:trPr>
        <w:tc>
          <w:tcPr>
            <w:tcW w:w="3951" w:type="dxa"/>
          </w:tcPr>
          <w:p w14:paraId="47A21BBF" w14:textId="77777777" w:rsidR="00586009" w:rsidRDefault="00A13E2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101 - 300</w:t>
            </w:r>
          </w:p>
        </w:tc>
        <w:tc>
          <w:tcPr>
            <w:tcW w:w="2975" w:type="dxa"/>
          </w:tcPr>
          <w:p w14:paraId="310F5244" w14:textId="77777777" w:rsidR="00586009" w:rsidRDefault="00A13E2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586009" w14:paraId="604E577E" w14:textId="77777777" w:rsidTr="00586009">
        <w:trPr>
          <w:trHeight w:val="291"/>
          <w:jc w:val="center"/>
        </w:trPr>
        <w:tc>
          <w:tcPr>
            <w:tcW w:w="3951" w:type="dxa"/>
          </w:tcPr>
          <w:p w14:paraId="614881C3" w14:textId="77777777" w:rsidR="00586009" w:rsidRDefault="00A13E2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301 - 500</w:t>
            </w:r>
          </w:p>
        </w:tc>
        <w:tc>
          <w:tcPr>
            <w:tcW w:w="2975" w:type="dxa"/>
          </w:tcPr>
          <w:p w14:paraId="35A6EFE8" w14:textId="77777777" w:rsidR="00586009" w:rsidRDefault="00A13E2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586009" w14:paraId="48AF83DC" w14:textId="77777777" w:rsidTr="00586009">
        <w:trPr>
          <w:trHeight w:val="291"/>
          <w:jc w:val="center"/>
        </w:trPr>
        <w:tc>
          <w:tcPr>
            <w:tcW w:w="3951" w:type="dxa"/>
          </w:tcPr>
          <w:p w14:paraId="387F702A" w14:textId="77777777" w:rsidR="00586009" w:rsidRDefault="00A13E2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​500+</w:t>
            </w:r>
          </w:p>
        </w:tc>
        <w:tc>
          <w:tcPr>
            <w:tcW w:w="2975" w:type="dxa"/>
          </w:tcPr>
          <w:p w14:paraId="0BFECA9C" w14:textId="2E769230" w:rsidR="00586009" w:rsidRDefault="00A13E20">
            <w:pPr>
              <w:spacing w:line="276"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highlight w:val="white"/>
              </w:rPr>
              <w:t>22</w:t>
            </w:r>
          </w:p>
        </w:tc>
      </w:tr>
    </w:tbl>
    <w:p w14:paraId="106269D0" w14:textId="77777777" w:rsidR="00586009" w:rsidRDefault="00A13E2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A8210B4" w14:textId="77777777" w:rsidR="00586009" w:rsidRDefault="00A13E20">
      <w:pPr>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All entrants may be entered in the physical science section, the biological science section or distributed between the two sections. It is suggested that a more or less equal distribution between the sections is desirable.</w:t>
      </w:r>
    </w:p>
    <w:p w14:paraId="5AC78F73" w14:textId="77777777" w:rsidR="00586009" w:rsidRDefault="00586009">
      <w:pPr>
        <w:spacing w:after="0" w:line="276" w:lineRule="auto"/>
        <w:rPr>
          <w:rFonts w:ascii="Times New Roman" w:eastAsia="Times New Roman" w:hAnsi="Times New Roman" w:cs="Times New Roman"/>
          <w:sz w:val="24"/>
          <w:szCs w:val="24"/>
        </w:rPr>
      </w:pPr>
    </w:p>
    <w:p w14:paraId="34D70240" w14:textId="77777777" w:rsidR="00586009" w:rsidRDefault="00A13E2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Schools may petition the fair for additional entries. </w:t>
      </w:r>
    </w:p>
    <w:p w14:paraId="377E1210" w14:textId="77777777" w:rsidR="00586009" w:rsidRDefault="00586009">
      <w:pPr>
        <w:spacing w:after="0" w:line="276" w:lineRule="auto"/>
        <w:rPr>
          <w:rFonts w:ascii="Times New Roman" w:eastAsia="Times New Roman" w:hAnsi="Times New Roman" w:cs="Times New Roman"/>
          <w:sz w:val="24"/>
          <w:szCs w:val="24"/>
          <w:highlight w:val="white"/>
        </w:rPr>
      </w:pPr>
    </w:p>
    <w:sectPr w:rsidR="00586009">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1F341" w14:textId="77777777" w:rsidR="00B457DC" w:rsidRDefault="00B457DC">
      <w:pPr>
        <w:spacing w:after="0" w:line="240" w:lineRule="auto"/>
      </w:pPr>
      <w:r>
        <w:separator/>
      </w:r>
    </w:p>
  </w:endnote>
  <w:endnote w:type="continuationSeparator" w:id="0">
    <w:p w14:paraId="5E7AD080" w14:textId="77777777" w:rsidR="00B457DC" w:rsidRDefault="00B4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C0046" w14:textId="77777777" w:rsidR="00586009" w:rsidRDefault="00A13E2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9976F" w14:textId="77777777" w:rsidR="00B457DC" w:rsidRDefault="00B457DC">
      <w:pPr>
        <w:spacing w:after="0" w:line="240" w:lineRule="auto"/>
      </w:pPr>
      <w:r>
        <w:separator/>
      </w:r>
    </w:p>
  </w:footnote>
  <w:footnote w:type="continuationSeparator" w:id="0">
    <w:p w14:paraId="68F73FB0" w14:textId="77777777" w:rsidR="00B457DC" w:rsidRDefault="00B45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09"/>
    <w:rsid w:val="0050215C"/>
    <w:rsid w:val="00586009"/>
    <w:rsid w:val="00A13E20"/>
    <w:rsid w:val="00B457DC"/>
    <w:rsid w:val="00EF6A3C"/>
    <w:rsid w:val="00FB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BEAD05"/>
  <w15:docId w15:val="{6C4D0417-3960-1042-BCDF-D8A08D6F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B1B0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B1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B04"/>
  </w:style>
  <w:style w:type="paragraph" w:styleId="Footer">
    <w:name w:val="footer"/>
    <w:basedOn w:val="Normal"/>
    <w:link w:val="FooterChar"/>
    <w:uiPriority w:val="99"/>
    <w:unhideWhenUsed/>
    <w:rsid w:val="005B1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B04"/>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5B1B04"/>
    <w:rPr>
      <w:rFonts w:eastAsiaTheme="minorEastAsia"/>
      <w:color w:val="5A5A5A" w:themeColor="text1" w:themeTint="A5"/>
      <w:spacing w:val="15"/>
    </w:rPr>
  </w:style>
  <w:style w:type="table" w:styleId="GridTable2">
    <w:name w:val="Grid Table 2"/>
    <w:basedOn w:val="TableNormal"/>
    <w:uiPriority w:val="47"/>
    <w:rsid w:val="005B1B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
    <w:basedOn w:val="TableNormal"/>
    <w:pPr>
      <w:spacing w:after="0" w:line="240" w:lineRule="auto"/>
    </w:pPr>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pPr>
      <w:spacing w:after="0" w:line="240" w:lineRule="auto"/>
    </w:pPr>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pPr>
      <w:spacing w:after="0" w:line="240" w:lineRule="auto"/>
    </w:pPr>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JRAvW08u8X23ub6uYKJS3Msog==">CgMxLjA4AHIhMS1PQUg2VmhrNGtsdDhGUHgxY3BUUzBxcGNmZVhwWDFz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Latasha Perreault</dc:creator>
  <cp:lastModifiedBy>Deanna Harding</cp:lastModifiedBy>
  <cp:revision>2</cp:revision>
  <dcterms:created xsi:type="dcterms:W3CDTF">2025-10-29T00:16:00Z</dcterms:created>
  <dcterms:modified xsi:type="dcterms:W3CDTF">2025-10-29T00:16:00Z</dcterms:modified>
</cp:coreProperties>
</file>